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097" w:rsidRDefault="00F44097">
      <w:pPr>
        <w:jc w:val="center"/>
        <w:rPr>
          <w:rFonts w:ascii="宋体" w:eastAsia="宋体" w:hAnsi="宋体"/>
          <w:b/>
          <w:bCs/>
          <w:sz w:val="44"/>
          <w:szCs w:val="44"/>
        </w:rPr>
      </w:pPr>
      <w:bookmarkStart w:id="0" w:name="_GoBack"/>
      <w:bookmarkEnd w:id="0"/>
    </w:p>
    <w:p w:rsidR="00F44097" w:rsidRDefault="00B17832">
      <w:pPr>
        <w:pStyle w:val="1"/>
        <w:spacing w:beforeLines="50" w:before="156" w:afterLines="50" w:after="156" w:line="240" w:lineRule="auto"/>
        <w:jc w:val="center"/>
        <w:rPr>
          <w:rFonts w:ascii="黑体" w:eastAsia="黑体" w:hAnsi="黑体" w:cs="Times New Roman"/>
          <w:color w:val="auto"/>
          <w:sz w:val="24"/>
          <w:szCs w:val="24"/>
        </w:rPr>
      </w:pPr>
      <w:r>
        <w:rPr>
          <w:rFonts w:ascii="黑体" w:eastAsia="黑体" w:hAnsi="黑体" w:cs="Times New Roman" w:hint="eastAsia"/>
          <w:color w:val="auto"/>
          <w:sz w:val="24"/>
          <w:szCs w:val="24"/>
        </w:rPr>
        <w:t>附录一：</w:t>
      </w:r>
      <w:r>
        <w:rPr>
          <w:rFonts w:ascii="黑体" w:eastAsia="黑体" w:hAnsi="黑体" w:cs="Times New Roman" w:hint="eastAsia"/>
          <w:color w:val="auto"/>
          <w:sz w:val="24"/>
          <w:szCs w:val="24"/>
        </w:rPr>
        <w:t>稳健性检验</w:t>
      </w:r>
    </w:p>
    <w:p w:rsidR="00F44097" w:rsidRDefault="00B17832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为确保</w:t>
      </w:r>
      <w:r>
        <w:rPr>
          <w:rFonts w:ascii="Times New Roman" w:eastAsia="宋体" w:hAnsi="Times New Roman" w:cs="Times New Roman" w:hint="eastAsia"/>
          <w:szCs w:val="21"/>
        </w:rPr>
        <w:t>结果的</w:t>
      </w:r>
      <w:r>
        <w:rPr>
          <w:rFonts w:ascii="Times New Roman" w:eastAsia="宋体" w:hAnsi="Times New Roman" w:cs="Times New Roman"/>
          <w:szCs w:val="21"/>
        </w:rPr>
        <w:t>可靠</w:t>
      </w:r>
      <w:r>
        <w:rPr>
          <w:rFonts w:ascii="Times New Roman" w:eastAsia="宋体" w:hAnsi="Times New Roman" w:cs="Times New Roman" w:hint="eastAsia"/>
          <w:szCs w:val="21"/>
        </w:rPr>
        <w:t>性</w:t>
      </w:r>
      <w:r>
        <w:rPr>
          <w:rFonts w:ascii="Times New Roman" w:eastAsia="宋体" w:hAnsi="Times New Roman" w:cs="Times New Roman"/>
          <w:szCs w:val="21"/>
        </w:rPr>
        <w:t>，本文进行了一系列稳健性检验。</w:t>
      </w:r>
    </w:p>
    <w:p w:rsidR="00F44097" w:rsidRDefault="00B17832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第一，</w:t>
      </w:r>
      <w:r>
        <w:rPr>
          <w:rFonts w:ascii="Times New Roman" w:eastAsia="宋体" w:hAnsi="Times New Roman" w:cs="Times New Roman"/>
          <w:szCs w:val="21"/>
        </w:rPr>
        <w:t>替换被解释变量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一是依据前文数据处理方法加总母公司下同一</w:t>
      </w:r>
      <w:r>
        <w:rPr>
          <w:rFonts w:ascii="Times New Roman" w:eastAsia="宋体" w:hAnsi="Times New Roman" w:cs="Times New Roman" w:hint="eastAsia"/>
          <w:szCs w:val="21"/>
        </w:rPr>
        <w:t>城市新注册的</w:t>
      </w:r>
      <w:r>
        <w:rPr>
          <w:rFonts w:ascii="Times New Roman" w:eastAsia="宋体" w:hAnsi="Times New Roman" w:cs="Times New Roman"/>
          <w:szCs w:val="21"/>
        </w:rPr>
        <w:t>子公司</w:t>
      </w:r>
      <w:r>
        <w:rPr>
          <w:rFonts w:ascii="Times New Roman" w:eastAsia="宋体" w:hAnsi="Times New Roman" w:cs="Times New Roman" w:hint="eastAsia"/>
          <w:szCs w:val="21"/>
        </w:rPr>
        <w:t>数量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将其取对数作为企业进行跨地区投资的数量（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IRN</w:t>
      </w:r>
      <w:r>
        <w:rPr>
          <w:rFonts w:ascii="Times New Roman" w:eastAsia="宋体" w:hAnsi="Times New Roman" w:cs="Times New Roman" w:hint="eastAsia"/>
          <w:szCs w:val="21"/>
        </w:rPr>
        <w:t>）。二是测算</w:t>
      </w:r>
      <w:r>
        <w:rPr>
          <w:rFonts w:ascii="Times New Roman" w:eastAsia="宋体" w:hAnsi="Times New Roman" w:cs="Times New Roman"/>
          <w:szCs w:val="21"/>
        </w:rPr>
        <w:t>每年母公司在</w:t>
      </w:r>
      <w:r>
        <w:rPr>
          <w:rFonts w:ascii="Times New Roman" w:eastAsia="宋体" w:hAnsi="Times New Roman" w:cs="Times New Roman" w:hint="eastAsia"/>
          <w:szCs w:val="21"/>
        </w:rPr>
        <w:t>各城市的</w:t>
      </w:r>
      <w:r>
        <w:rPr>
          <w:rFonts w:ascii="Times New Roman" w:eastAsia="宋体" w:hAnsi="Times New Roman" w:cs="Times New Roman"/>
          <w:szCs w:val="21"/>
        </w:rPr>
        <w:t>投资额</w:t>
      </w:r>
      <w:r>
        <w:rPr>
          <w:rFonts w:ascii="Times New Roman" w:eastAsia="宋体" w:hAnsi="Times New Roman" w:cs="Times New Roman" w:hint="eastAsia"/>
          <w:szCs w:val="21"/>
        </w:rPr>
        <w:t>在城市</w:t>
      </w:r>
      <w:r>
        <w:rPr>
          <w:rFonts w:ascii="Times New Roman" w:eastAsia="宋体" w:hAnsi="Times New Roman" w:cs="Times New Roman"/>
          <w:szCs w:val="21"/>
        </w:rPr>
        <w:t>总投资额</w:t>
      </w:r>
      <w:r>
        <w:rPr>
          <w:rFonts w:ascii="Times New Roman" w:eastAsia="宋体" w:hAnsi="Times New Roman" w:cs="Times New Roman" w:hint="eastAsia"/>
          <w:szCs w:val="21"/>
        </w:rPr>
        <w:t>中</w:t>
      </w:r>
      <w:r>
        <w:rPr>
          <w:rFonts w:ascii="Times New Roman" w:eastAsia="宋体" w:hAnsi="Times New Roman" w:cs="Times New Roman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比重（</w:t>
      </w:r>
      <w:r>
        <w:rPr>
          <w:rFonts w:ascii="Times New Roman" w:hAnsi="Times New Roman" w:cs="Times New Roman"/>
          <w:i/>
          <w:iCs/>
          <w:kern w:val="0"/>
          <w:szCs w:val="21"/>
        </w:rPr>
        <w:t>C_I</w:t>
      </w:r>
      <w:r>
        <w:rPr>
          <w:rFonts w:ascii="Times New Roman" w:hAnsi="Times New Roman" w:cs="Times New Roman" w:hint="eastAsia"/>
          <w:i/>
          <w:iCs/>
          <w:kern w:val="0"/>
          <w:szCs w:val="21"/>
        </w:rPr>
        <w:t>RI</w:t>
      </w:r>
      <w:r>
        <w:rPr>
          <w:rFonts w:ascii="Times New Roman" w:eastAsia="宋体" w:hAnsi="Times New Roman" w:cs="Times New Roman" w:hint="eastAsia"/>
          <w:szCs w:val="21"/>
        </w:rPr>
        <w:t>）。三是测算</w:t>
      </w:r>
      <w:r>
        <w:rPr>
          <w:rFonts w:ascii="Times New Roman" w:eastAsia="宋体" w:hAnsi="Times New Roman" w:cs="Times New Roman"/>
          <w:szCs w:val="21"/>
        </w:rPr>
        <w:t>每年母公司在各</w:t>
      </w:r>
      <w:r>
        <w:rPr>
          <w:rFonts w:ascii="Times New Roman" w:eastAsia="宋体" w:hAnsi="Times New Roman" w:cs="Times New Roman" w:hint="eastAsia"/>
          <w:szCs w:val="21"/>
        </w:rPr>
        <w:t>城市</w:t>
      </w:r>
      <w:r>
        <w:rPr>
          <w:rFonts w:ascii="Times New Roman" w:eastAsia="宋体" w:hAnsi="Times New Roman" w:cs="Times New Roman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注册企业数量在城市总注册企业数量的比重（</w:t>
      </w:r>
      <w:r>
        <w:rPr>
          <w:rFonts w:ascii="Times New Roman" w:hAnsi="Times New Roman" w:cs="Times New Roman"/>
          <w:i/>
          <w:iCs/>
          <w:kern w:val="0"/>
          <w:szCs w:val="21"/>
        </w:rPr>
        <w:t>C_I</w:t>
      </w:r>
      <w:r>
        <w:rPr>
          <w:rFonts w:ascii="Times New Roman" w:hAnsi="Times New Roman" w:cs="Times New Roman" w:hint="eastAsia"/>
          <w:i/>
          <w:iCs/>
          <w:kern w:val="0"/>
          <w:szCs w:val="21"/>
        </w:rPr>
        <w:t>RN</w:t>
      </w:r>
      <w:r>
        <w:rPr>
          <w:rFonts w:ascii="Times New Roman" w:eastAsia="宋体" w:hAnsi="Times New Roman" w:cs="Times New Roman" w:hint="eastAsia"/>
          <w:szCs w:val="21"/>
        </w:rPr>
        <w:t>）。附表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前三列的估计系数均在高水平下显著为正，与基准结果一致。</w:t>
      </w:r>
    </w:p>
    <w:p w:rsidR="00F44097" w:rsidRDefault="00B17832">
      <w:pPr>
        <w:pStyle w:val="a3"/>
        <w:keepNext/>
        <w:spacing w:beforeLines="50" w:before="156"/>
        <w:ind w:firstLineChars="200" w:firstLine="420"/>
        <w:rPr>
          <w:rFonts w:ascii="黑体" w:hAnsi="黑体" w:cs="Times New Roman"/>
          <w:sz w:val="21"/>
          <w:szCs w:val="21"/>
        </w:rPr>
      </w:pPr>
      <w:r>
        <w:rPr>
          <w:rFonts w:ascii="黑体" w:hAnsi="黑体" w:cs="Times New Roman" w:hint="eastAsia"/>
          <w:sz w:val="21"/>
          <w:szCs w:val="21"/>
        </w:rPr>
        <w:t>附表</w:t>
      </w:r>
      <w:r>
        <w:rPr>
          <w:rFonts w:ascii="Times New Roman" w:hAnsi="Times New Roman" w:cs="Times New Roman" w:hint="eastAsia"/>
          <w:sz w:val="21"/>
          <w:szCs w:val="21"/>
        </w:rPr>
        <w:t>1</w:t>
      </w:r>
      <w:r>
        <w:rPr>
          <w:rFonts w:ascii="黑体" w:hAnsi="黑体" w:cs="Times New Roman"/>
          <w:sz w:val="21"/>
          <w:szCs w:val="21"/>
        </w:rPr>
        <w:tab/>
      </w:r>
      <w:r>
        <w:rPr>
          <w:rFonts w:ascii="黑体" w:hAnsi="黑体" w:cs="Times New Roman" w:hint="eastAsia"/>
          <w:sz w:val="21"/>
          <w:szCs w:val="21"/>
        </w:rPr>
        <w:t>替代变量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86"/>
        <w:gridCol w:w="1043"/>
        <w:gridCol w:w="1131"/>
        <w:gridCol w:w="1188"/>
        <w:gridCol w:w="1186"/>
        <w:gridCol w:w="1186"/>
        <w:gridCol w:w="1186"/>
      </w:tblGrid>
      <w:tr w:rsidR="00F44097">
        <w:tc>
          <w:tcPr>
            <w:tcW w:w="834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6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IRN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  <w:t>C_I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RI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  <w:t>C_I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RN</w:t>
            </w:r>
          </w:p>
        </w:tc>
        <w:tc>
          <w:tcPr>
            <w:tcW w:w="2142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IRI</w:t>
            </w:r>
          </w:p>
        </w:tc>
      </w:tr>
      <w:tr w:rsidR="00F44097">
        <w:tc>
          <w:tcPr>
            <w:tcW w:w="834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</w:tr>
      <w:tr w:rsidR="00F44097"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GF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0.003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(0.001)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(0.001)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(0.000)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GFP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(0.021)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GFC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0.037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(0.014)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GS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(0.003)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_cons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-0.541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0.172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0.089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0.563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0.562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0.521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(0.128)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(0.064)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(0.041)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(0.241)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(0.241)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(0.243)</w:t>
            </w:r>
          </w:p>
        </w:tc>
      </w:tr>
      <w:tr w:rsidR="00F44097"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0.580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0.854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0.907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bookmarkStart w:id="1" w:name="_Hlk194928247"/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企业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-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</w:tbl>
    <w:bookmarkEnd w:id="1"/>
    <w:p w:rsidR="00F44097" w:rsidRDefault="00B17832">
      <w:pPr>
        <w:spacing w:beforeLines="50" w:before="156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第二，替换解释变量。</w:t>
      </w:r>
      <w:r>
        <w:rPr>
          <w:rFonts w:ascii="Times New Roman" w:eastAsia="宋体" w:hAnsi="Times New Roman" w:cs="Times New Roman"/>
          <w:szCs w:val="21"/>
        </w:rPr>
        <w:t>一是</w:t>
      </w:r>
      <w:r>
        <w:rPr>
          <w:rFonts w:ascii="Times New Roman" w:eastAsia="宋体" w:hAnsi="Times New Roman" w:cs="Times New Roman" w:hint="eastAsia"/>
          <w:szCs w:val="21"/>
        </w:rPr>
        <w:t>将城市第一次设立政府引导基金的年份设定为政府引导基金政策（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GFP</w:t>
      </w:r>
      <w:r>
        <w:rPr>
          <w:rFonts w:ascii="Times New Roman" w:eastAsia="宋体" w:hAnsi="Times New Roman" w:cs="Times New Roman" w:hint="eastAsia"/>
          <w:szCs w:val="21"/>
        </w:rPr>
        <w:t>）的实施时间，在此之后的年份均赋值为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，反之则赋值为</w:t>
      </w:r>
      <w:r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。二是将政府引导基金按照城市加总目标基金数量，并取对数（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GFC</w:t>
      </w:r>
      <w:r>
        <w:rPr>
          <w:rFonts w:ascii="Times New Roman" w:eastAsia="宋体" w:hAnsi="Times New Roman" w:cs="Times New Roman" w:hint="eastAsia"/>
          <w:szCs w:val="21"/>
        </w:rPr>
        <w:t>）。三是将各企业获得政府的创新补助汇总至城市层面，得到城市的创新补助作为替代变量（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GS</w:t>
      </w:r>
      <w:r>
        <w:rPr>
          <w:rFonts w:ascii="Times New Roman" w:eastAsia="宋体" w:hAnsi="Times New Roman" w:cs="Times New Roman" w:hint="eastAsia"/>
          <w:szCs w:val="21"/>
        </w:rPr>
        <w:t>）。具体参考郭玥（</w:t>
      </w:r>
      <w:r>
        <w:rPr>
          <w:rFonts w:ascii="Times New Roman" w:eastAsia="宋体" w:hAnsi="Times New Roman" w:cs="Times New Roman" w:hint="eastAsia"/>
          <w:szCs w:val="21"/>
        </w:rPr>
        <w:t>2018</w:t>
      </w:r>
      <w:r>
        <w:rPr>
          <w:rFonts w:ascii="Times New Roman" w:eastAsia="宋体" w:hAnsi="Times New Roman" w:cs="Times New Roman" w:hint="eastAsia"/>
          <w:szCs w:val="21"/>
        </w:rPr>
        <w:t>）的做法，运用“关键词检索”的方法搜索上市公司年报财务报表附注“营业外收入”科目下政府补助明细中的具体项目名称，确定属于创新补助范畴的项目，通过加总得到每家上市公司每一年度的创新补助总额，然后根据企业所在地址，将创新补助金额加总至城市层面并取对数，则得到城市的政府创新补助。原因在于，“关键词”中除了包含高新技术或战略性新兴产业领域的专有名词，比如与电子信息技术研发有关的“集成系统”等之外，还包括政府科技支持创新政策，比如“高新技术企业”、“孵化器”等。前者能够体现政府基金中的产业引</w:t>
      </w:r>
      <w:r>
        <w:rPr>
          <w:rFonts w:ascii="Times New Roman" w:eastAsia="宋体" w:hAnsi="Times New Roman" w:cs="Times New Roman" w:hint="eastAsia"/>
          <w:szCs w:val="21"/>
        </w:rPr>
        <w:t>导，后者能够体现政府基金中的创新创业支持，即能够反映出政府基金引导项目中的产业基金和创新创业基金。附表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后三列的</w:t>
      </w:r>
      <w:r>
        <w:rPr>
          <w:rFonts w:ascii="Times New Roman" w:eastAsia="宋体" w:hAnsi="Times New Roman" w:cs="Times New Roman" w:hint="eastAsia"/>
        </w:rPr>
        <w:t>估计结果显示，政府引导基金依旧能在高水平下显著吸引企业异地投资。</w:t>
      </w:r>
    </w:p>
    <w:p w:rsidR="00F44097" w:rsidRDefault="00B17832">
      <w:pPr>
        <w:spacing w:beforeLines="50" w:before="156"/>
        <w:ind w:firstLineChars="200" w:firstLine="420"/>
      </w:pPr>
      <w:bookmarkStart w:id="2" w:name="_Hlk188732022"/>
      <w:r>
        <w:rPr>
          <w:rFonts w:ascii="Times New Roman" w:eastAsia="宋体" w:hAnsi="Times New Roman" w:cs="Times New Roman" w:hint="eastAsia"/>
        </w:rPr>
        <w:lastRenderedPageBreak/>
        <w:t>第三，</w:t>
      </w:r>
      <w:r>
        <w:rPr>
          <w:rFonts w:ascii="Times New Roman" w:eastAsia="宋体" w:hAnsi="Times New Roman" w:cs="Times New Roman" w:hint="eastAsia"/>
          <w:szCs w:val="21"/>
        </w:rPr>
        <w:t>排除其他干扰。一是随着新冠疫情于</w:t>
      </w:r>
      <w:r>
        <w:rPr>
          <w:rFonts w:ascii="Times New Roman" w:eastAsia="宋体" w:hAnsi="Times New Roman" w:cs="Times New Roman" w:hint="eastAsia"/>
          <w:szCs w:val="21"/>
        </w:rPr>
        <w:t>2019</w:t>
      </w:r>
      <w:r>
        <w:rPr>
          <w:rFonts w:ascii="Times New Roman" w:eastAsia="宋体" w:hAnsi="Times New Roman" w:cs="Times New Roman" w:hint="eastAsia"/>
          <w:szCs w:val="21"/>
        </w:rPr>
        <w:t>年底开始在全球范围内爆发并迅速蔓延，全球经济、政策以及企业运营环境等各方面都因疫情发生了巨大且特殊的变化，经济环境剧烈波动、政策呈现临时性与特殊性、企业战略和风险偏好短期改变以及投资评估指标被扭曲等情况均在</w:t>
      </w:r>
      <w:r>
        <w:rPr>
          <w:rFonts w:ascii="Times New Roman" w:eastAsia="宋体" w:hAnsi="Times New Roman" w:cs="Times New Roman" w:hint="eastAsia"/>
          <w:szCs w:val="21"/>
        </w:rPr>
        <w:t>2020</w:t>
      </w:r>
      <w:r>
        <w:rPr>
          <w:rFonts w:ascii="Times New Roman" w:eastAsia="宋体" w:hAnsi="Times New Roman" w:cs="Times New Roman" w:hint="eastAsia"/>
          <w:szCs w:val="21"/>
        </w:rPr>
        <w:t>年及以后凸显。因此，本文将</w:t>
      </w:r>
      <w:r>
        <w:rPr>
          <w:rFonts w:ascii="Times New Roman" w:eastAsia="宋体" w:hAnsi="Times New Roman" w:cs="Times New Roman" w:hint="eastAsia"/>
          <w:szCs w:val="21"/>
        </w:rPr>
        <w:t>2019</w:t>
      </w:r>
      <w:r>
        <w:rPr>
          <w:rFonts w:ascii="Times New Roman" w:eastAsia="宋体" w:hAnsi="Times New Roman" w:cs="Times New Roman" w:hint="eastAsia"/>
          <w:szCs w:val="21"/>
        </w:rPr>
        <w:t>年之后的样本删去，避免疫情相关的异常因素</w:t>
      </w:r>
      <w:r>
        <w:rPr>
          <w:rFonts w:ascii="Times New Roman" w:eastAsia="宋体" w:hAnsi="Times New Roman" w:cs="Times New Roman" w:hint="eastAsia"/>
          <w:szCs w:val="21"/>
        </w:rPr>
        <w:t>干扰对企业异地投资影响因素的分析。二是政府引导基金具有一定的金融特点，为了排除相关的金融政策干扰，本文借鉴刘秉镰和孙鹏博（</w:t>
      </w:r>
      <w:r>
        <w:rPr>
          <w:rFonts w:ascii="Times New Roman" w:eastAsia="宋体" w:hAnsi="Times New Roman" w:cs="Times New Roman" w:hint="eastAsia"/>
          <w:szCs w:val="21"/>
        </w:rPr>
        <w:t>2022</w:t>
      </w:r>
      <w:r>
        <w:rPr>
          <w:rFonts w:ascii="Times New Roman" w:eastAsia="宋体" w:hAnsi="Times New Roman" w:cs="Times New Roman" w:hint="eastAsia"/>
          <w:szCs w:val="21"/>
        </w:rPr>
        <w:t>）的做法，收集国家级金融改革试验区（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FR</w:t>
      </w:r>
      <w:r>
        <w:rPr>
          <w:rFonts w:ascii="Times New Roman" w:eastAsia="宋体" w:hAnsi="Times New Roman" w:cs="Times New Roman" w:hint="eastAsia"/>
          <w:szCs w:val="21"/>
        </w:rPr>
        <w:t>），放入模型。三是政府引导基金在一定程度上促进了企业的技术创新，为了排除相关的创新政策干扰，本文加入创新型城市试点政策（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IC</w:t>
      </w:r>
      <w:r>
        <w:rPr>
          <w:rFonts w:ascii="Times New Roman" w:eastAsia="宋体" w:hAnsi="Times New Roman" w:cs="Times New Roman" w:hint="eastAsia"/>
          <w:szCs w:val="21"/>
        </w:rPr>
        <w:t>）。四是政府引导基金具有一定的基础资源作用和创新引擎作用，为了排除相关的开放政策干扰，本文将政府数据平台开放（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GD</w:t>
      </w:r>
      <w:r>
        <w:rPr>
          <w:rFonts w:ascii="Times New Roman" w:eastAsia="宋体" w:hAnsi="Times New Roman" w:cs="Times New Roman" w:hint="eastAsia"/>
          <w:szCs w:val="21"/>
        </w:rPr>
        <w:t>）引入控制变量。附表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的结果表明本文的基准结论是稳健的。</w:t>
      </w:r>
    </w:p>
    <w:p w:rsidR="00F44097" w:rsidRDefault="00B17832">
      <w:pPr>
        <w:pStyle w:val="a3"/>
        <w:keepNext/>
        <w:spacing w:beforeLines="50" w:before="156"/>
        <w:ind w:firstLineChars="200" w:firstLine="420"/>
        <w:rPr>
          <w:rFonts w:ascii="黑体" w:hAnsi="黑体" w:cs="Times New Roman"/>
          <w:sz w:val="21"/>
          <w:szCs w:val="21"/>
        </w:rPr>
      </w:pPr>
      <w:r>
        <w:rPr>
          <w:rFonts w:ascii="黑体" w:hAnsi="黑体" w:cs="Times New Roman" w:hint="eastAsia"/>
          <w:sz w:val="21"/>
          <w:szCs w:val="21"/>
        </w:rPr>
        <w:t>附表</w:t>
      </w:r>
      <w:r>
        <w:rPr>
          <w:rFonts w:ascii="Times New Roman" w:hAnsi="Times New Roman" w:cs="Times New Roman" w:hint="eastAsia"/>
          <w:sz w:val="21"/>
          <w:szCs w:val="21"/>
        </w:rPr>
        <w:t>2</w:t>
      </w:r>
      <w:r>
        <w:rPr>
          <w:rFonts w:ascii="黑体" w:hAnsi="黑体" w:cs="Times New Roman"/>
          <w:sz w:val="21"/>
          <w:szCs w:val="21"/>
        </w:rPr>
        <w:tab/>
      </w:r>
      <w:r>
        <w:rPr>
          <w:rFonts w:ascii="黑体" w:hAnsi="黑体" w:cs="Times New Roman" w:hint="eastAsia"/>
          <w:sz w:val="21"/>
          <w:szCs w:val="21"/>
        </w:rPr>
        <w:t>排除其他干扰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701"/>
        <w:gridCol w:w="1558"/>
        <w:gridCol w:w="1703"/>
        <w:gridCol w:w="1502"/>
      </w:tblGrid>
      <w:tr w:rsidR="00F44097">
        <w:trPr>
          <w:jc w:val="center"/>
        </w:trPr>
        <w:tc>
          <w:tcPr>
            <w:tcW w:w="1109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3891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IRI</w:t>
            </w:r>
          </w:p>
        </w:tc>
      </w:tr>
      <w:tr w:rsidR="00F44097">
        <w:trPr>
          <w:jc w:val="center"/>
        </w:trPr>
        <w:tc>
          <w:tcPr>
            <w:tcW w:w="1109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删除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2019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年之后的样本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国家级金融改革试验区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创新型试点城市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政府数据开放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GF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0.007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(0.003)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FR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0.161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(0.030)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IC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0.092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(0.038)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GD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0.02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(0.027)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_cons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359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0.515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0.507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0.559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282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(0.241)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(0.242)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(0.241)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21312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R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0.737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bookmarkStart w:id="3" w:name="_Hlk187609206"/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企业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-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rPr>
          <w:jc w:val="center"/>
        </w:trPr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left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102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</w:tbl>
    <w:p w:rsidR="00F44097" w:rsidRDefault="00B17832">
      <w:pPr>
        <w:spacing w:beforeLines="50" w:before="156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4" w:name="_Hlk188541212"/>
      <w:bookmarkEnd w:id="2"/>
      <w:bookmarkEnd w:id="3"/>
      <w:r>
        <w:rPr>
          <w:rFonts w:ascii="Times New Roman" w:eastAsia="宋体" w:hAnsi="Times New Roman" w:cs="Times New Roman" w:hint="eastAsia"/>
          <w:szCs w:val="21"/>
        </w:rPr>
        <w:t>第四，混淆因素。尽管我们在模型中控制了目的地城市的固定效应、母公司和目的地城市的交互固定效应、加入了城市对之间的控制变量，但是无法控制目的地城市、城市对以及行业层面随时间变化因素的影响。因此，本文借鉴何凡等（</w:t>
      </w:r>
      <w:r>
        <w:rPr>
          <w:rFonts w:ascii="Times New Roman" w:eastAsia="宋体" w:hAnsi="Times New Roman" w:cs="Times New Roman" w:hint="eastAsia"/>
          <w:szCs w:val="21"/>
        </w:rPr>
        <w:t>2024</w:t>
      </w:r>
      <w:r>
        <w:rPr>
          <w:rFonts w:ascii="Times New Roman" w:eastAsia="宋体" w:hAnsi="Times New Roman" w:cs="Times New Roman" w:hint="eastAsia"/>
          <w:szCs w:val="21"/>
        </w:rPr>
        <w:t>）的做法，分别将目的地城市、城市对、行业与年份线性、平方和立方趋势的交互项加入模型予以控制。附表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前三列的回归结果表明，在控制了各层面与时间趋势的交互项之后，政府引导基金系数均在</w:t>
      </w:r>
      <w:r>
        <w:rPr>
          <w:rFonts w:ascii="Times New Roman" w:eastAsia="宋体" w:hAnsi="Times New Roman" w:cs="Times New Roman" w:hint="eastAsia"/>
          <w:szCs w:val="21"/>
        </w:rPr>
        <w:t>5%</w:t>
      </w:r>
      <w:r>
        <w:rPr>
          <w:rFonts w:ascii="Times New Roman" w:eastAsia="宋体" w:hAnsi="Times New Roman" w:cs="Times New Roman" w:hint="eastAsia"/>
          <w:szCs w:val="21"/>
        </w:rPr>
        <w:t>水平上显著为正，即政府引导基金依旧能够促进企业进行跨地区投资。</w:t>
      </w:r>
    </w:p>
    <w:bookmarkEnd w:id="4"/>
    <w:p w:rsidR="00F44097" w:rsidRDefault="00B17832">
      <w:pPr>
        <w:pStyle w:val="a3"/>
        <w:keepNext/>
        <w:spacing w:beforeLines="50" w:before="156"/>
        <w:ind w:firstLineChars="200" w:firstLine="420"/>
        <w:rPr>
          <w:rFonts w:ascii="黑体" w:hAnsi="黑体" w:cs="Times New Roman"/>
          <w:sz w:val="21"/>
          <w:szCs w:val="21"/>
        </w:rPr>
      </w:pPr>
      <w:r>
        <w:rPr>
          <w:rFonts w:ascii="黑体" w:hAnsi="黑体" w:cs="Times New Roman" w:hint="eastAsia"/>
          <w:sz w:val="21"/>
          <w:szCs w:val="21"/>
        </w:rPr>
        <w:t>附表</w:t>
      </w: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黑体" w:hAnsi="黑体" w:cs="Times New Roman"/>
          <w:sz w:val="21"/>
          <w:szCs w:val="21"/>
        </w:rPr>
        <w:tab/>
      </w:r>
      <w:r>
        <w:rPr>
          <w:rFonts w:ascii="黑体" w:hAnsi="黑体" w:cs="Times New Roman" w:hint="eastAsia"/>
          <w:sz w:val="21"/>
          <w:szCs w:val="21"/>
        </w:rPr>
        <w:t>混淆因素和自选择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8"/>
        <w:gridCol w:w="1665"/>
        <w:gridCol w:w="1271"/>
        <w:gridCol w:w="1271"/>
        <w:gridCol w:w="1272"/>
        <w:gridCol w:w="1269"/>
      </w:tblGrid>
      <w:tr w:rsidR="00F44097">
        <w:tc>
          <w:tcPr>
            <w:tcW w:w="938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4062" w:type="pct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IRI</w:t>
            </w:r>
          </w:p>
        </w:tc>
      </w:tr>
      <w:tr w:rsidR="00F44097">
        <w:tc>
          <w:tcPr>
            <w:tcW w:w="938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5" w:name="OLE_LINK76"/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目的地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城市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时间</w:t>
            </w:r>
            <w:bookmarkEnd w:id="5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6" w:name="OLE_LINK77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城市对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时间</w:t>
            </w:r>
            <w:bookmarkEnd w:id="6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行业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时间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加入变量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Heckman</w:t>
            </w:r>
          </w:p>
        </w:tc>
      </w:tr>
      <w:tr w:rsidR="00F44097">
        <w:tc>
          <w:tcPr>
            <w:tcW w:w="9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GF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0.005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(0.002)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kern w:val="0"/>
                <w:sz w:val="18"/>
                <w:szCs w:val="18"/>
              </w:rPr>
              <w:t>IMR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-0.841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0)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7" w:name="OLE_LINK67"/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per_gdp</w:t>
            </w:r>
            <w:bookmarkEnd w:id="7"/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-0.016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(0.063)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pop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0.053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(0.120)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gov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-0.011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(0.076)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fin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-0.032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(0.057)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8" w:name="OLE_LINK69"/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internet</w:t>
            </w:r>
            <w:bookmarkEnd w:id="8"/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-0.061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(0.022)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road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-0.045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(0.034)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ind2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0.004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(0.007)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ind3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0.008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(0.008)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e_tax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-0.129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(0.070)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9" w:name="OLE_LINK68"/>
            <w:r>
              <w:rPr>
                <w:rFonts w:ascii="Times New Roman" w:eastAsia="宋体" w:hAnsi="Times New Roman" w:cs="Times New Roman" w:hint="eastAsia"/>
                <w:i/>
                <w:iCs/>
                <w:sz w:val="18"/>
                <w:szCs w:val="18"/>
              </w:rPr>
              <w:t>s_tax</w:t>
            </w:r>
            <w:bookmarkEnd w:id="9"/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0.019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(0.781)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F44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  <w:t>_cons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1395.809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5.1e+04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960.695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1.822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2.848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***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4097" w:rsidRDefault="00F44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(1993.927)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(5.1e+04)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(2929.523)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bookmarkStart w:id="10" w:name="OLE_LINK54"/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(1.315)</w:t>
            </w:r>
            <w:bookmarkEnd w:id="10"/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(0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.696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</w:tc>
      </w:tr>
      <w:tr w:rsidR="00F44097">
        <w:tc>
          <w:tcPr>
            <w:tcW w:w="9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N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26251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26123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26251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0.736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0.736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 w:hint="eastAsia"/>
                <w:kern w:val="0"/>
                <w:sz w:val="18"/>
                <w:szCs w:val="18"/>
              </w:rPr>
              <w:t>时间</w:t>
            </w:r>
            <w:r>
              <w:rPr>
                <w:rFonts w:ascii="楷体" w:eastAsia="楷体" w:hAnsi="楷体" w:cs="Times New Roman" w:hint="eastAsia"/>
                <w:kern w:val="0"/>
                <w:sz w:val="18"/>
                <w:szCs w:val="18"/>
              </w:rPr>
              <w:t>-</w:t>
            </w:r>
            <w:r>
              <w:rPr>
                <w:rFonts w:ascii="楷体" w:eastAsia="楷体" w:hAnsi="楷体" w:cs="Times New Roman" w:hint="eastAsia"/>
                <w:kern w:val="0"/>
                <w:sz w:val="18"/>
                <w:szCs w:val="18"/>
              </w:rPr>
              <w:t>个体交互固定效应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 w:hint="eastAsia"/>
                <w:kern w:val="0"/>
                <w:sz w:val="18"/>
                <w:szCs w:val="18"/>
              </w:rPr>
              <w:t>否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企业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-</w:t>
            </w: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  <w:tr w:rsidR="00F44097"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城市固定效应</w:t>
            </w:r>
          </w:p>
        </w:tc>
        <w:tc>
          <w:tcPr>
            <w:tcW w:w="100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44097" w:rsidRDefault="00B17832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 w:cs="Times New Roman"/>
                <w:kern w:val="0"/>
                <w:sz w:val="18"/>
                <w:szCs w:val="18"/>
              </w:rPr>
            </w:pPr>
            <w:r>
              <w:rPr>
                <w:rFonts w:ascii="楷体" w:eastAsia="楷体" w:hAnsi="楷体" w:cs="Times New Roman"/>
                <w:kern w:val="0"/>
                <w:sz w:val="18"/>
                <w:szCs w:val="18"/>
              </w:rPr>
              <w:t>是</w:t>
            </w:r>
          </w:p>
        </w:tc>
      </w:tr>
    </w:tbl>
    <w:p w:rsidR="00F44097" w:rsidRDefault="00B17832">
      <w:pPr>
        <w:spacing w:beforeLines="50" w:before="156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第五，企业异地投资的自选择问题。一方面，企业异地投资的决策往往不是随机的，而是受到地区经济、产业等多种因素的影响，而这些因素可能并不是政府引导基金带来的影响。因此，本文加入公司注册地城市的经济、人口、财政支出、金融、基础设施、产业和税收优惠等控制变量。具体来看，经济因素使用城市人均</w:t>
      </w:r>
      <w:r>
        <w:rPr>
          <w:rFonts w:ascii="Times New Roman" w:eastAsia="宋体" w:hAnsi="Times New Roman" w:cs="Times New Roman" w:hint="eastAsia"/>
          <w:szCs w:val="21"/>
        </w:rPr>
        <w:t>GDP</w:t>
      </w:r>
      <w:r>
        <w:rPr>
          <w:rFonts w:ascii="Times New Roman" w:eastAsia="宋体" w:hAnsi="Times New Roman" w:cs="Times New Roman" w:hint="eastAsia"/>
          <w:szCs w:val="21"/>
        </w:rPr>
        <w:t>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per_gdp</w:t>
      </w:r>
      <w:r>
        <w:rPr>
          <w:rFonts w:ascii="Times New Roman" w:eastAsia="宋体" w:hAnsi="Times New Roman" w:cs="Times New Roman" w:hint="eastAsia"/>
          <w:szCs w:val="21"/>
        </w:rPr>
        <w:t>），人口规模使用城市年末人口数量取对数（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pop</w:t>
      </w:r>
      <w:r>
        <w:rPr>
          <w:rFonts w:ascii="Times New Roman" w:eastAsia="宋体" w:hAnsi="Times New Roman" w:cs="Times New Roman" w:hint="eastAsia"/>
          <w:szCs w:val="21"/>
        </w:rPr>
        <w:t>），财政支出使用政府财政支出取对数（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gov</w:t>
      </w:r>
      <w:r>
        <w:rPr>
          <w:rFonts w:ascii="Times New Roman" w:eastAsia="宋体" w:hAnsi="Times New Roman" w:cs="Times New Roman" w:hint="eastAsia"/>
          <w:szCs w:val="21"/>
        </w:rPr>
        <w:t>），金融使用金融机构贷款余额取对数（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fin</w:t>
      </w:r>
      <w:r>
        <w:rPr>
          <w:rFonts w:ascii="Times New Roman" w:eastAsia="宋体" w:hAnsi="Times New Roman" w:cs="Times New Roman" w:hint="eastAsia"/>
          <w:szCs w:val="21"/>
        </w:rPr>
        <w:t>），基础设施包括国际互联网用户数（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internet</w:t>
      </w:r>
      <w:r>
        <w:rPr>
          <w:rFonts w:ascii="Times New Roman" w:eastAsia="宋体" w:hAnsi="Times New Roman" w:cs="Times New Roman" w:hint="eastAsia"/>
          <w:szCs w:val="21"/>
        </w:rPr>
        <w:t>）和人均城市道路面积取对数（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road</w:t>
      </w:r>
      <w:r>
        <w:rPr>
          <w:rFonts w:ascii="Times New Roman" w:eastAsia="宋体" w:hAnsi="Times New Roman" w:cs="Times New Roman" w:hint="eastAsia"/>
          <w:szCs w:val="21"/>
        </w:rPr>
        <w:t>），产业由第二产业产值占比（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ind2</w:t>
      </w:r>
      <w:r>
        <w:rPr>
          <w:rFonts w:ascii="Times New Roman" w:eastAsia="宋体" w:hAnsi="Times New Roman" w:cs="Times New Roman" w:hint="eastAsia"/>
          <w:szCs w:val="21"/>
        </w:rPr>
        <w:t>）和第三产业产值占比（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ind3</w:t>
      </w:r>
      <w:r>
        <w:rPr>
          <w:rFonts w:ascii="Times New Roman" w:eastAsia="宋体" w:hAnsi="Times New Roman" w:cs="Times New Roman" w:hint="eastAsia"/>
          <w:szCs w:val="21"/>
        </w:rPr>
        <w:t>）衡量，税收优惠分别为企业税收优惠</w:t>
      </w:r>
      <w:r>
        <w:rPr>
          <w:rFonts w:ascii="Times New Roman" w:eastAsia="宋体" w:hAnsi="Times New Roman" w:cs="Times New Roman" w:hint="eastAsia"/>
          <w:i/>
          <w:iCs/>
        </w:rPr>
        <w:t>（</w:t>
      </w:r>
      <w:r>
        <w:rPr>
          <w:rFonts w:ascii="Times New Roman" w:eastAsia="宋体" w:hAnsi="Times New Roman" w:cs="Times New Roman" w:hint="eastAsia"/>
          <w:i/>
          <w:iCs/>
        </w:rPr>
        <w:t>e_tax</w:t>
      </w:r>
      <w:r>
        <w:rPr>
          <w:rFonts w:ascii="Times New Roman" w:eastAsia="宋体" w:hAnsi="Times New Roman" w:cs="Times New Roman" w:hint="eastAsia"/>
          <w:i/>
          <w:iCs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和城市税收强度（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s_tax</w:t>
      </w:r>
      <w:r>
        <w:rPr>
          <w:rFonts w:ascii="Times New Roman" w:eastAsia="宋体" w:hAnsi="Times New Roman" w:cs="Times New Roman" w:hint="eastAsia"/>
          <w:szCs w:val="21"/>
        </w:rPr>
        <w:t>），分别由</w:t>
      </w:r>
      <w:r>
        <w:rPr>
          <w:rFonts w:ascii="Times New Roman" w:eastAsia="宋体" w:hAnsi="Times New Roman" w:cs="Times New Roman" w:hint="eastAsia"/>
        </w:rPr>
        <w:t>企业税费返还金额与企业支付的税费金额之比和</w:t>
      </w:r>
      <w:r>
        <w:rPr>
          <w:rFonts w:ascii="Times New Roman" w:eastAsia="宋体" w:hAnsi="Times New Roman" w:cs="Times New Roman" w:hint="eastAsia"/>
          <w:szCs w:val="21"/>
        </w:rPr>
        <w:t>城市税收收入与其</w:t>
      </w:r>
      <w:r>
        <w:rPr>
          <w:rFonts w:ascii="Times New Roman" w:eastAsia="宋体" w:hAnsi="Times New Roman" w:cs="Times New Roman" w:hint="eastAsia"/>
          <w:szCs w:val="21"/>
        </w:rPr>
        <w:t>GDP</w:t>
      </w:r>
      <w:r>
        <w:rPr>
          <w:rFonts w:ascii="Times New Roman" w:eastAsia="宋体" w:hAnsi="Times New Roman" w:cs="Times New Roman" w:hint="eastAsia"/>
          <w:szCs w:val="21"/>
        </w:rPr>
        <w:t>之比衡量。附表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的第四列结果显示，回归系数在高水平下显著为正，即在加入各类可能影响企业异地投资的因素后，政府引导基金仍然能够显著促进企业异地投资。</w:t>
      </w:r>
      <w:bookmarkStart w:id="11" w:name="_Hlk194928258"/>
      <w:r>
        <w:rPr>
          <w:rFonts w:ascii="Times New Roman" w:eastAsia="宋体" w:hAnsi="Times New Roman" w:cs="Times New Roman" w:hint="eastAsia"/>
          <w:szCs w:val="21"/>
        </w:rPr>
        <w:t>另一方面，本文采用</w:t>
      </w:r>
      <w:r>
        <w:rPr>
          <w:rFonts w:ascii="Times New Roman" w:eastAsia="宋体" w:hAnsi="Times New Roman" w:cs="Times New Roman" w:hint="eastAsia"/>
          <w:szCs w:val="21"/>
        </w:rPr>
        <w:t>Heckman</w:t>
      </w:r>
      <w:r>
        <w:rPr>
          <w:rFonts w:ascii="Times New Roman" w:eastAsia="宋体" w:hAnsi="Times New Roman" w:cs="Times New Roman" w:hint="eastAsia"/>
          <w:szCs w:val="21"/>
        </w:rPr>
        <w:t>两阶段模型进行检验。企业异地投资的多元化行为（多城市投资）可能反映了更强的主动选择（</w:t>
      </w:r>
      <w:r>
        <w:rPr>
          <w:rFonts w:ascii="Times New Roman" w:eastAsia="宋体" w:hAnsi="Times New Roman" w:cs="Times New Roman" w:hint="eastAsia"/>
          <w:szCs w:val="21"/>
        </w:rPr>
        <w:t>如战略布局能力、</w:t>
      </w:r>
      <w:r>
        <w:rPr>
          <w:rFonts w:ascii="Times New Roman" w:eastAsia="宋体" w:hAnsi="Times New Roman" w:cs="Times New Roman" w:hint="eastAsia"/>
          <w:szCs w:val="21"/>
        </w:rPr>
        <w:lastRenderedPageBreak/>
        <w:t>资源整合能力），而单城市投资可能是被动响应（如跟随客户或政策）。因此，在第一阶段采用</w:t>
      </w:r>
      <w:r>
        <w:rPr>
          <w:rFonts w:ascii="Times New Roman" w:eastAsia="宋体" w:hAnsi="Times New Roman" w:cs="Times New Roman" w:hint="eastAsia"/>
          <w:szCs w:val="21"/>
        </w:rPr>
        <w:t>probit</w:t>
      </w:r>
      <w:r>
        <w:rPr>
          <w:rFonts w:ascii="Times New Roman" w:eastAsia="宋体" w:hAnsi="Times New Roman" w:cs="Times New Roman" w:hint="eastAsia"/>
          <w:szCs w:val="21"/>
        </w:rPr>
        <w:t>模型中，如果企业在多个城市进行投资，则赋值为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；仅在一个城市投资，则赋值为</w:t>
      </w:r>
      <w:r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。同时引入企业进行多元化异地投资的影响因素：企业年龄（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</w:rPr>
        <w:t>ge</w:t>
      </w:r>
      <w:r>
        <w:rPr>
          <w:rFonts w:ascii="Times New Roman" w:eastAsia="宋体" w:hAnsi="Times New Roman" w:cs="Times New Roman" w:hint="eastAsia"/>
          <w:szCs w:val="21"/>
        </w:rPr>
        <w:t>）、企业规模（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s</w:t>
      </w:r>
      <w:r>
        <w:rPr>
          <w:rFonts w:ascii="Times New Roman" w:eastAsia="宋体" w:hAnsi="Times New Roman" w:cs="Times New Roman"/>
          <w:i/>
          <w:iCs/>
          <w:szCs w:val="21"/>
        </w:rPr>
        <w:t>ize</w:t>
      </w:r>
      <w:r>
        <w:rPr>
          <w:rFonts w:ascii="Times New Roman" w:eastAsia="宋体" w:hAnsi="Times New Roman" w:cs="Times New Roman" w:hint="eastAsia"/>
          <w:szCs w:val="21"/>
        </w:rPr>
        <w:t>）、</w:t>
      </w:r>
      <w:r>
        <w:rPr>
          <w:rFonts w:ascii="Times New Roman" w:eastAsia="宋体" w:hAnsi="Times New Roman" w:cs="Times New Roman" w:hint="eastAsia"/>
        </w:rPr>
        <w:t>资产收益率（</w:t>
      </w:r>
      <w:r>
        <w:rPr>
          <w:rFonts w:ascii="Times New Roman" w:eastAsia="宋体" w:hAnsi="Times New Roman" w:cs="Times New Roman" w:hint="eastAsia"/>
          <w:i/>
          <w:iCs/>
        </w:rPr>
        <w:t>r</w:t>
      </w:r>
      <w:r>
        <w:rPr>
          <w:rFonts w:ascii="Times New Roman" w:eastAsia="宋体" w:hAnsi="Times New Roman" w:cs="Times New Roman"/>
          <w:i/>
          <w:iCs/>
        </w:rPr>
        <w:t>oa</w:t>
      </w:r>
      <w:r>
        <w:rPr>
          <w:rFonts w:ascii="Times New Roman" w:eastAsia="宋体" w:hAnsi="Times New Roman" w:cs="Times New Roman" w:hint="eastAsia"/>
        </w:rPr>
        <w:t>）、</w:t>
      </w:r>
      <w:r>
        <w:rPr>
          <w:rFonts w:ascii="Times New Roman" w:eastAsia="宋体" w:hAnsi="Times New Roman" w:cs="Times New Roman" w:hint="eastAsia"/>
          <w:szCs w:val="21"/>
        </w:rPr>
        <w:t>资产负债率（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t</w:t>
      </w:r>
      <w:r>
        <w:rPr>
          <w:rFonts w:ascii="Times New Roman" w:eastAsia="宋体" w:hAnsi="Times New Roman" w:cs="Times New Roman"/>
          <w:i/>
          <w:iCs/>
          <w:szCs w:val="21"/>
        </w:rPr>
        <w:t>l</w:t>
      </w:r>
      <w:r>
        <w:rPr>
          <w:rFonts w:ascii="Times New Roman" w:eastAsia="宋体" w:hAnsi="Times New Roman" w:cs="Times New Roman" w:hint="eastAsia"/>
          <w:szCs w:val="21"/>
        </w:rPr>
        <w:t>）、经营现金流持有比例（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cash</w:t>
      </w:r>
      <w:r>
        <w:rPr>
          <w:rFonts w:ascii="Times New Roman" w:eastAsia="宋体" w:hAnsi="Times New Roman" w:cs="Times New Roman" w:hint="eastAsia"/>
          <w:szCs w:val="21"/>
        </w:rPr>
        <w:t>）、营业收入增长率（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growth</w:t>
      </w:r>
      <w:r>
        <w:rPr>
          <w:rFonts w:ascii="Times New Roman" w:eastAsia="宋体" w:hAnsi="Times New Roman" w:cs="Times New Roman" w:hint="eastAsia"/>
          <w:szCs w:val="21"/>
        </w:rPr>
        <w:t>）。基于上述变量估计得出</w:t>
      </w:r>
      <w:bookmarkStart w:id="12" w:name="_Hlk194521402"/>
      <w:r>
        <w:rPr>
          <w:rFonts w:ascii="Times New Roman" w:eastAsia="宋体" w:hAnsi="Times New Roman" w:cs="Times New Roman" w:hint="eastAsia"/>
          <w:szCs w:val="21"/>
        </w:rPr>
        <w:t>逆米尔斯比率（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IMR</w:t>
      </w:r>
      <w:r>
        <w:rPr>
          <w:rFonts w:ascii="Times New Roman" w:eastAsia="宋体" w:hAnsi="Times New Roman" w:cs="Times New Roman" w:hint="eastAsia"/>
          <w:szCs w:val="21"/>
        </w:rPr>
        <w:t>）</w:t>
      </w:r>
      <w:bookmarkEnd w:id="12"/>
      <w:r>
        <w:rPr>
          <w:rFonts w:ascii="Times New Roman" w:eastAsia="宋体" w:hAnsi="Times New Roman" w:cs="Times New Roman" w:hint="eastAsia"/>
          <w:szCs w:val="21"/>
        </w:rPr>
        <w:t>，然后将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IMR</w:t>
      </w:r>
      <w:r>
        <w:rPr>
          <w:rFonts w:ascii="Times New Roman" w:eastAsia="宋体" w:hAnsi="Times New Roman" w:cs="Times New Roman" w:hint="eastAsia"/>
          <w:szCs w:val="21"/>
        </w:rPr>
        <w:t>作为控制变量引入</w:t>
      </w:r>
      <w:r>
        <w:rPr>
          <w:rFonts w:ascii="Times New Roman" w:eastAsia="宋体" w:hAnsi="Times New Roman" w:cs="Times New Roman" w:hint="eastAsia"/>
          <w:szCs w:val="21"/>
        </w:rPr>
        <w:t>Heckman</w:t>
      </w:r>
      <w:r>
        <w:rPr>
          <w:rFonts w:ascii="Times New Roman" w:eastAsia="宋体" w:hAnsi="Times New Roman" w:cs="Times New Roman" w:hint="eastAsia"/>
          <w:szCs w:val="21"/>
        </w:rPr>
        <w:t>结果模型。附表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最后一列展示了</w:t>
      </w:r>
      <w:r>
        <w:rPr>
          <w:rFonts w:ascii="Times New Roman" w:eastAsia="宋体" w:hAnsi="Times New Roman" w:cs="Times New Roman" w:hint="eastAsia"/>
          <w:szCs w:val="21"/>
        </w:rPr>
        <w:t>Heckman</w:t>
      </w:r>
      <w:r>
        <w:rPr>
          <w:rFonts w:ascii="Times New Roman" w:eastAsia="宋体" w:hAnsi="Times New Roman" w:cs="Times New Roman" w:hint="eastAsia"/>
          <w:szCs w:val="21"/>
        </w:rPr>
        <w:t>两</w:t>
      </w:r>
      <w:r>
        <w:rPr>
          <w:rFonts w:ascii="Times New Roman" w:eastAsia="宋体" w:hAnsi="Times New Roman" w:cs="Times New Roman" w:hint="eastAsia"/>
          <w:szCs w:val="21"/>
        </w:rPr>
        <w:t>步法的结果。其中，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IMR</w:t>
      </w:r>
      <w:r>
        <w:rPr>
          <w:rFonts w:ascii="Times New Roman" w:eastAsia="宋体" w:hAnsi="Times New Roman" w:cs="Times New Roman" w:hint="eastAsia"/>
          <w:szCs w:val="21"/>
        </w:rPr>
        <w:t>估计系数在</w:t>
      </w:r>
      <w:r>
        <w:rPr>
          <w:rFonts w:ascii="Times New Roman" w:eastAsia="宋体" w:hAnsi="Times New Roman" w:cs="Times New Roman" w:hint="eastAsia"/>
          <w:szCs w:val="21"/>
        </w:rPr>
        <w:t>1%</w:t>
      </w:r>
      <w:r>
        <w:rPr>
          <w:rFonts w:ascii="Times New Roman" w:eastAsia="宋体" w:hAnsi="Times New Roman" w:cs="Times New Roman" w:hint="eastAsia"/>
          <w:szCs w:val="21"/>
        </w:rPr>
        <w:t>水平下显著，表明使用样本选择模型处理样本自选择问题具有其合理性和必要性。</w:t>
      </w:r>
      <w:r>
        <w:rPr>
          <w:rFonts w:ascii="Times New Roman" w:eastAsia="宋体" w:hAnsi="Times New Roman" w:cs="Times New Roman" w:hint="eastAsia"/>
          <w:i/>
          <w:iCs/>
          <w:szCs w:val="21"/>
        </w:rPr>
        <w:t>GF</w:t>
      </w:r>
      <w:r>
        <w:rPr>
          <w:rFonts w:ascii="Times New Roman" w:eastAsia="宋体" w:hAnsi="Times New Roman" w:cs="Times New Roman" w:hint="eastAsia"/>
          <w:szCs w:val="21"/>
        </w:rPr>
        <w:t>的系数显著为正，再次印证了前文提出的假设。</w:t>
      </w:r>
      <w:bookmarkEnd w:id="11"/>
    </w:p>
    <w:p w:rsidR="00F44097" w:rsidRDefault="00B17832">
      <w:pPr>
        <w:spacing w:beforeLines="100" w:before="312"/>
        <w:ind w:firstLineChars="200" w:firstLine="42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参考文献：</w:t>
      </w:r>
    </w:p>
    <w:p w:rsidR="00F44097" w:rsidRDefault="00B17832">
      <w:pPr>
        <w:pStyle w:val="a9"/>
        <w:spacing w:after="0" w:line="240" w:lineRule="auto"/>
        <w:ind w:left="180" w:hangingChars="100" w:hanging="180"/>
        <w:jc w:val="both"/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1.</w:t>
      </w:r>
      <w:r>
        <w:rPr>
          <w:rFonts w:ascii="Times New Roman" w:eastAsia="宋体" w:hAnsi="Times New Roman" w:cs="Times New Roman"/>
          <w:sz w:val="18"/>
          <w:szCs w:val="18"/>
        </w:rPr>
        <w:t>郭玥，</w:t>
      </w:r>
      <w:r>
        <w:rPr>
          <w:rFonts w:ascii="Times New Roman" w:eastAsia="宋体" w:hAnsi="Times New Roman" w:cs="Times New Roman"/>
          <w:sz w:val="18"/>
          <w:szCs w:val="18"/>
        </w:rPr>
        <w:t>2018</w:t>
      </w:r>
      <w:r>
        <w:rPr>
          <w:rFonts w:ascii="Times New Roman" w:eastAsia="宋体" w:hAnsi="Times New Roman" w:cs="Times New Roman"/>
          <w:sz w:val="18"/>
          <w:szCs w:val="18"/>
        </w:rPr>
        <w:t>：《政府创新补助的信号传递机制与企业创新》，《中国工业经济》第</w:t>
      </w:r>
      <w:r>
        <w:rPr>
          <w:rFonts w:ascii="Times New Roman" w:eastAsia="宋体" w:hAnsi="Times New Roman" w:cs="Times New Roman"/>
          <w:sz w:val="18"/>
          <w:szCs w:val="18"/>
        </w:rPr>
        <w:t>9</w:t>
      </w:r>
      <w:r>
        <w:rPr>
          <w:rFonts w:ascii="Times New Roman" w:eastAsia="宋体" w:hAnsi="Times New Roman" w:cs="Times New Roman"/>
          <w:sz w:val="18"/>
          <w:szCs w:val="18"/>
        </w:rPr>
        <w:t>期。</w:t>
      </w:r>
    </w:p>
    <w:p w:rsidR="00F44097" w:rsidRDefault="00B17832">
      <w:pPr>
        <w:pStyle w:val="a9"/>
        <w:spacing w:after="0" w:line="240" w:lineRule="auto"/>
        <w:ind w:left="180" w:hangingChars="100" w:hanging="180"/>
        <w:jc w:val="both"/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2.</w:t>
      </w:r>
      <w:r>
        <w:rPr>
          <w:rFonts w:ascii="Times New Roman" w:eastAsia="宋体" w:hAnsi="Times New Roman" w:cs="Times New Roman"/>
          <w:sz w:val="18"/>
          <w:szCs w:val="18"/>
        </w:rPr>
        <w:t>何凡、陈波、黄炜，</w:t>
      </w:r>
      <w:r>
        <w:rPr>
          <w:rFonts w:ascii="Times New Roman" w:eastAsia="宋体" w:hAnsi="Times New Roman" w:cs="Times New Roman"/>
          <w:sz w:val="18"/>
          <w:szCs w:val="18"/>
        </w:rPr>
        <w:t>2024</w:t>
      </w:r>
      <w:r>
        <w:rPr>
          <w:rFonts w:ascii="Times New Roman" w:eastAsia="宋体" w:hAnsi="Times New Roman" w:cs="Times New Roman"/>
          <w:sz w:val="18"/>
          <w:szCs w:val="18"/>
        </w:rPr>
        <w:t>：《行业规范标准化与资本跨区流动</w:t>
      </w:r>
      <w:r>
        <w:rPr>
          <w:rFonts w:ascii="Times New Roman" w:eastAsia="宋体" w:hAnsi="Times New Roman" w:cs="Times New Roman"/>
          <w:sz w:val="18"/>
          <w:szCs w:val="18"/>
        </w:rPr>
        <w:t>——</w:t>
      </w:r>
      <w:r>
        <w:rPr>
          <w:rFonts w:ascii="Times New Roman" w:eastAsia="宋体" w:hAnsi="Times New Roman" w:cs="Times New Roman"/>
          <w:sz w:val="18"/>
          <w:szCs w:val="18"/>
        </w:rPr>
        <w:t>基于企业异地投资的研究》，《管理世界》第</w:t>
      </w:r>
      <w:r>
        <w:rPr>
          <w:rFonts w:ascii="Times New Roman" w:eastAsia="宋体" w:hAnsi="Times New Roman" w:cs="Times New Roman"/>
          <w:sz w:val="18"/>
          <w:szCs w:val="18"/>
        </w:rPr>
        <w:t>7</w:t>
      </w:r>
      <w:r>
        <w:rPr>
          <w:rFonts w:ascii="Times New Roman" w:eastAsia="宋体" w:hAnsi="Times New Roman" w:cs="Times New Roman"/>
          <w:sz w:val="18"/>
          <w:szCs w:val="18"/>
        </w:rPr>
        <w:t>期。</w:t>
      </w:r>
    </w:p>
    <w:p w:rsidR="00F44097" w:rsidRDefault="00B17832">
      <w:pPr>
        <w:pStyle w:val="a9"/>
        <w:spacing w:after="0" w:line="240" w:lineRule="auto"/>
        <w:ind w:left="180" w:hangingChars="100" w:hanging="180"/>
        <w:jc w:val="both"/>
        <w:rPr>
          <w:rFonts w:ascii="Times New Roman" w:eastAsia="宋体" w:hAnsi="Times New Roman" w:cs="Times New Roman"/>
          <w:sz w:val="18"/>
          <w:szCs w:val="18"/>
        </w:rPr>
      </w:pPr>
      <w:r>
        <w:rPr>
          <w:rFonts w:ascii="Times New Roman" w:eastAsia="宋体" w:hAnsi="Times New Roman" w:cs="Times New Roman" w:hint="eastAsia"/>
          <w:sz w:val="18"/>
          <w:szCs w:val="18"/>
        </w:rPr>
        <w:t>3.</w:t>
      </w:r>
      <w:r>
        <w:rPr>
          <w:rFonts w:ascii="Times New Roman" w:eastAsia="宋体" w:hAnsi="Times New Roman" w:cs="Times New Roman"/>
          <w:sz w:val="18"/>
          <w:szCs w:val="18"/>
        </w:rPr>
        <w:t>刘秉镰、孙鹏博，</w:t>
      </w:r>
      <w:r>
        <w:rPr>
          <w:rFonts w:ascii="Times New Roman" w:eastAsia="宋体" w:hAnsi="Times New Roman" w:cs="Times New Roman"/>
          <w:sz w:val="18"/>
          <w:szCs w:val="18"/>
        </w:rPr>
        <w:t>2022</w:t>
      </w:r>
      <w:r>
        <w:rPr>
          <w:rFonts w:ascii="Times New Roman" w:eastAsia="宋体" w:hAnsi="Times New Roman" w:cs="Times New Roman"/>
          <w:sz w:val="18"/>
          <w:szCs w:val="18"/>
        </w:rPr>
        <w:t>：《国家级金融改革试验区如何影响碳生产率》，《经济学动态》第</w:t>
      </w:r>
      <w:r>
        <w:rPr>
          <w:rFonts w:ascii="Times New Roman" w:eastAsia="宋体" w:hAnsi="Times New Roman" w:cs="Times New Roman"/>
          <w:sz w:val="18"/>
          <w:szCs w:val="18"/>
        </w:rPr>
        <w:t>9</w:t>
      </w:r>
      <w:r>
        <w:rPr>
          <w:rFonts w:ascii="Times New Roman" w:eastAsia="宋体" w:hAnsi="Times New Roman" w:cs="Times New Roman"/>
          <w:sz w:val="18"/>
          <w:szCs w:val="18"/>
        </w:rPr>
        <w:t>期。</w:t>
      </w:r>
    </w:p>
    <w:sectPr w:rsidR="00F44097">
      <w:footnotePr>
        <w:numFmt w:val="decimalEnclosedCircleChinese"/>
        <w:numRestart w:val="eachPage"/>
      </w:foot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32" w:rsidRDefault="00B17832">
      <w:r>
        <w:separator/>
      </w:r>
    </w:p>
  </w:endnote>
  <w:endnote w:type="continuationSeparator" w:id="0">
    <w:p w:rsidR="00B17832" w:rsidRDefault="00B1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32" w:rsidRDefault="00B17832">
      <w:r>
        <w:separator/>
      </w:r>
    </w:p>
  </w:footnote>
  <w:footnote w:type="continuationSeparator" w:id="0">
    <w:p w:rsidR="00B17832" w:rsidRDefault="00B17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46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E6"/>
    <w:rsid w:val="000E55BF"/>
    <w:rsid w:val="00186A21"/>
    <w:rsid w:val="001B5784"/>
    <w:rsid w:val="002062EB"/>
    <w:rsid w:val="0026757F"/>
    <w:rsid w:val="0029373B"/>
    <w:rsid w:val="00325DF1"/>
    <w:rsid w:val="003D5D9F"/>
    <w:rsid w:val="00461906"/>
    <w:rsid w:val="0047296A"/>
    <w:rsid w:val="004A4698"/>
    <w:rsid w:val="004E1666"/>
    <w:rsid w:val="005D2C87"/>
    <w:rsid w:val="005D58BD"/>
    <w:rsid w:val="007675D4"/>
    <w:rsid w:val="0078373D"/>
    <w:rsid w:val="00792E74"/>
    <w:rsid w:val="007F0B07"/>
    <w:rsid w:val="00842977"/>
    <w:rsid w:val="00913875"/>
    <w:rsid w:val="009840F2"/>
    <w:rsid w:val="00A03F5F"/>
    <w:rsid w:val="00A72A1C"/>
    <w:rsid w:val="00AC542D"/>
    <w:rsid w:val="00AF71A3"/>
    <w:rsid w:val="00B17832"/>
    <w:rsid w:val="00B55392"/>
    <w:rsid w:val="00B62FC6"/>
    <w:rsid w:val="00BD6B5A"/>
    <w:rsid w:val="00C00FA4"/>
    <w:rsid w:val="00CD280A"/>
    <w:rsid w:val="00DB2798"/>
    <w:rsid w:val="00DD1496"/>
    <w:rsid w:val="00EB17CA"/>
    <w:rsid w:val="00F24FE6"/>
    <w:rsid w:val="00F44097"/>
    <w:rsid w:val="00F45228"/>
    <w:rsid w:val="00F7150B"/>
    <w:rsid w:val="3C6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4E188C9-A12B-4550-BAC8-AD13DC79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p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Title"/>
    <w:basedOn w:val="a"/>
    <w:next w:val="a"/>
    <w:link w:val="Char2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Pr>
      <w:rFonts w:cstheme="majorBidi"/>
      <w:color w:val="2F5496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Pr>
      <w:rFonts w:cstheme="majorBidi"/>
      <w:color w:val="2F5496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Char2">
    <w:name w:val="标题 Char"/>
    <w:basedOn w:val="a0"/>
    <w:link w:val="a7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副标题 Char"/>
    <w:basedOn w:val="a0"/>
    <w:link w:val="a6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Char3"/>
    <w:uiPriority w:val="29"/>
    <w:qFormat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</w:rPr>
  </w:style>
  <w:style w:type="character" w:customStyle="1" w:styleId="Char3">
    <w:name w:val="引用 Char"/>
    <w:basedOn w:val="a0"/>
    <w:link w:val="a8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spacing w:after="160" w:line="278" w:lineRule="auto"/>
      <w:ind w:left="720"/>
      <w:contextualSpacing/>
      <w:jc w:val="left"/>
    </w:pPr>
    <w:rPr>
      <w:sz w:val="22"/>
      <w:szCs w:val="24"/>
    </w:rPr>
  </w:style>
  <w:style w:type="character" w:customStyle="1" w:styleId="10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Char4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</w:rPr>
  </w:style>
  <w:style w:type="character" w:customStyle="1" w:styleId="Char4">
    <w:name w:val="明显引用 Char"/>
    <w:basedOn w:val="a0"/>
    <w:link w:val="aa"/>
    <w:uiPriority w:val="30"/>
    <w:rPr>
      <w:i/>
      <w:iCs/>
      <w:color w:val="2F5496" w:themeColor="accent1" w:themeShade="BF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467DC-A53E-4DA1-AAB9-3E3BB534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3375</Characters>
  <Application>Microsoft Office Word</Application>
  <DocSecurity>0</DocSecurity>
  <Lines>28</Lines>
  <Paragraphs>7</Paragraphs>
  <ScaleCrop>false</ScaleCrop>
  <Company>Microsoft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 Jin</dc:creator>
  <cp:lastModifiedBy>Microsoft</cp:lastModifiedBy>
  <cp:revision>3</cp:revision>
  <dcterms:created xsi:type="dcterms:W3CDTF">2025-09-19T01:24:00Z</dcterms:created>
  <dcterms:modified xsi:type="dcterms:W3CDTF">2025-09-19T01:24:00Z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eyJoZGlkIjoiYjEzYTJlNjYxNmE1MzAwOTFiOGEyNWRmNWRlMzVlNjIifQ==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36006951973A4B3E818D2BBAC3D0C2BB_12</vt:lpwstr>
  </property>
</Properties>
</file>